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E" w:rsidRPr="00837919" w:rsidRDefault="00CE7CAE" w:rsidP="00CE7CAE">
      <w:pPr>
        <w:spacing w:after="24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1. Область применения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взрывозащищенного и рудничного оборудования Общества с ограниченной ответственностью </w:t>
      </w:r>
      <w:r w:rsidR="002D53AB">
        <w:rPr>
          <w:rFonts w:ascii="Times New Roman" w:hAnsi="Times New Roman" w:cs="Times New Roman"/>
          <w:color w:val="000000"/>
          <w:spacing w:val="-1"/>
          <w:sz w:val="20"/>
        </w:rPr>
        <w:t>«</w:t>
      </w:r>
      <w:r w:rsidR="007441DF">
        <w:rPr>
          <w:rFonts w:ascii="Times New Roman" w:hAnsi="Times New Roman" w:cs="Times New Roman"/>
          <w:color w:val="000000"/>
          <w:spacing w:val="-1"/>
          <w:sz w:val="20"/>
        </w:rPr>
        <w:t>СЕРКОНС</w:t>
      </w:r>
      <w:r w:rsidR="002D53AB">
        <w:rPr>
          <w:rFonts w:ascii="Times New Roman" w:hAnsi="Times New Roman" w:cs="Times New Roman"/>
          <w:color w:val="000000"/>
          <w:spacing w:val="-1"/>
          <w:sz w:val="20"/>
        </w:rPr>
        <w:t>» (далее – ОС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 xml:space="preserve">Ср              –          расходы               на           </w:t>
      </w:r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упаковку,   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          хранение,           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работ, проводимых органом по сертификации,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)/100) х (1 + Р/100),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Таблица 3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3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35"/>
      </w:tblGrid>
      <w:tr w:rsidR="00CE7CAE" w:rsidRPr="00837919" w:rsidTr="00321F29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2D53AB" w:rsidRPr="00837919" w:rsidTr="00E50FA4">
        <w:trPr>
          <w:trHeight w:val="539"/>
          <w:jc w:val="center"/>
        </w:trPr>
        <w:tc>
          <w:tcPr>
            <w:tcW w:w="0" w:type="auto"/>
            <w:vMerge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2D53AB" w:rsidRPr="00837919" w:rsidTr="00AB2B0A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2D53AB" w:rsidRPr="00837919" w:rsidTr="00D11B13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2D53AB" w:rsidRPr="00837919" w:rsidTr="005F7091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2D53AB" w:rsidRPr="00837919" w:rsidTr="00005C2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2D53AB" w:rsidRPr="00837919" w:rsidTr="001F2FFC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2D53AB" w:rsidRPr="00837919" w:rsidTr="0030320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2D53AB" w:rsidRPr="00837919" w:rsidTr="000540B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2D53AB" w:rsidRPr="00837919" w:rsidTr="008C67D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</w:t>
      </w:r>
      <w:bookmarkStart w:id="0" w:name="_GoBack"/>
      <w:bookmarkEnd w:id="0"/>
      <w:r w:rsidRPr="00837919">
        <w:rPr>
          <w:rFonts w:ascii="Times New Roman" w:hAnsi="Times New Roman" w:cs="Times New Roman"/>
          <w:sz w:val="20"/>
        </w:rPr>
        <w:t>Оплата при этом производится посредством дополнительного соглашения к договору об оказании услуг.</w:t>
      </w:r>
    </w:p>
    <w:p w:rsidR="00CE7CAE" w:rsidRDefault="00CE7CAE" w:rsidP="00CE7CAE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lastRenderedPageBreak/>
        <w:t> </w:t>
      </w:r>
    </w:p>
    <w:p w:rsidR="00CE7CAE" w:rsidRDefault="00CE7CAE" w:rsidP="003424B6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</w:p>
    <w:p w:rsidR="00EF4717" w:rsidRPr="00EF4717" w:rsidRDefault="00EF4717" w:rsidP="00EF4717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EF4717">
        <w:rPr>
          <w:rFonts w:ascii="Times New Roman" w:hAnsi="Times New Roman" w:cs="Times New Roman"/>
          <w:sz w:val="20"/>
        </w:rPr>
        <w:t xml:space="preserve">Примерная стоимость работ по проведению инспекционного </w:t>
      </w:r>
      <w:r w:rsidRPr="00EF4717">
        <w:rPr>
          <w:rFonts w:ascii="Times New Roman" w:hAnsi="Times New Roman" w:cs="Times New Roman"/>
          <w:sz w:val="20"/>
        </w:rPr>
        <w:t>контроля –</w:t>
      </w:r>
      <w:r w:rsidRPr="00EF4717">
        <w:rPr>
          <w:rFonts w:ascii="Times New Roman" w:hAnsi="Times New Roman" w:cs="Times New Roman"/>
          <w:sz w:val="20"/>
        </w:rPr>
        <w:t xml:space="preserve"> от 40 000 рублей.</w:t>
      </w:r>
    </w:p>
    <w:p w:rsidR="00CE7CAE" w:rsidRPr="00837919" w:rsidRDefault="00CE7CAE" w:rsidP="00CE7CAE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</w:p>
    <w:p w:rsidR="00734C05" w:rsidRDefault="00EF4717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3"/>
    <w:rsid w:val="00193423"/>
    <w:rsid w:val="002D53AB"/>
    <w:rsid w:val="003424B6"/>
    <w:rsid w:val="003E6BAF"/>
    <w:rsid w:val="007441DF"/>
    <w:rsid w:val="00BC6A42"/>
    <w:rsid w:val="00CE7CAE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FDD"/>
  <w15:chartTrackingRefBased/>
  <w15:docId w15:val="{0556C202-13F4-4D45-8444-B8F05D5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Квитко Ольга Евгеньевна</cp:lastModifiedBy>
  <cp:revision>7</cp:revision>
  <dcterms:created xsi:type="dcterms:W3CDTF">2021-09-15T08:10:00Z</dcterms:created>
  <dcterms:modified xsi:type="dcterms:W3CDTF">2022-02-09T07:49:00Z</dcterms:modified>
</cp:coreProperties>
</file>